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2BE03" w14:textId="0269643C" w:rsidR="00F218C3" w:rsidRDefault="00F218C3" w:rsidP="00F218C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b/>
          <w:sz w:val="24"/>
          <w:lang w:eastAsia="zh-CN"/>
        </w:rPr>
        <w:t>7-e</w:t>
      </w:r>
      <w:r>
        <w:rPr>
          <w:b/>
          <w:i/>
          <w:sz w:val="28"/>
        </w:rPr>
        <w:tab/>
      </w:r>
      <w:r w:rsidRPr="006B22FE">
        <w:rPr>
          <w:b/>
          <w:i/>
          <w:sz w:val="24"/>
          <w:szCs w:val="24"/>
        </w:rPr>
        <w:t>R2-2</w:t>
      </w:r>
      <w:r>
        <w:rPr>
          <w:b/>
          <w:i/>
          <w:sz w:val="24"/>
          <w:szCs w:val="24"/>
        </w:rPr>
        <w:t>2</w:t>
      </w:r>
      <w:r w:rsidR="00416AE6">
        <w:rPr>
          <w:b/>
          <w:i/>
          <w:sz w:val="24"/>
          <w:szCs w:val="24"/>
        </w:rPr>
        <w:t>03908</w:t>
      </w:r>
      <w:bookmarkStart w:id="0" w:name="_GoBack"/>
      <w:bookmarkEnd w:id="0"/>
    </w:p>
    <w:p w14:paraId="385FF6E4" w14:textId="5C9042F8" w:rsidR="00A27A5C" w:rsidRDefault="00F218C3" w:rsidP="00F218C3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>
        <w:rPr>
          <w:b/>
          <w:sz w:val="24"/>
        </w:rPr>
        <w:t xml:space="preserve">21th </w:t>
      </w:r>
      <w:r w:rsidRPr="002403A0">
        <w:rPr>
          <w:b/>
          <w:sz w:val="24"/>
        </w:rPr>
        <w:t>February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 xml:space="preserve">3rd March </w:t>
      </w:r>
      <w:r w:rsidRPr="00F918D7">
        <w:rPr>
          <w:b/>
          <w:sz w:val="24"/>
        </w:rPr>
        <w:t>202</w:t>
      </w:r>
      <w:r>
        <w:rPr>
          <w:b/>
          <w:sz w:val="24"/>
        </w:rPr>
        <w:t xml:space="preserve">2   </w:t>
      </w:r>
      <w:r w:rsidR="00AF1E3E">
        <w:rPr>
          <w:b/>
          <w:sz w:val="24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A5C" w14:paraId="18E64D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4F69" w14:textId="77777777" w:rsidR="00A27A5C" w:rsidRDefault="00AF1E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27A5C" w14:paraId="09643C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5F63C" w14:textId="77777777"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7A5C" w14:paraId="3F20B6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E7378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BCF1D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00B33F" w14:textId="77777777" w:rsidR="00A27A5C" w:rsidRDefault="00A27A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E97132" w14:textId="77777777" w:rsidR="00A27A5C" w:rsidRDefault="00AF1E3E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24A867ED" w14:textId="77777777" w:rsidR="00A27A5C" w:rsidRDefault="00AF1E3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7C3FD" w14:textId="71A8EA9C" w:rsidR="00A27A5C" w:rsidRDefault="00920C2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1839</w:t>
            </w:r>
          </w:p>
        </w:tc>
        <w:tc>
          <w:tcPr>
            <w:tcW w:w="709" w:type="dxa"/>
          </w:tcPr>
          <w:p w14:paraId="1E16B966" w14:textId="77777777" w:rsidR="00A27A5C" w:rsidRDefault="00AF1E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D33487" w14:textId="168F61CB" w:rsidR="00A27A5C" w:rsidRDefault="00C20F4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992FAE9" w14:textId="77777777" w:rsidR="00A27A5C" w:rsidRDefault="00AF1E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06448" w14:textId="421E8D4D" w:rsidR="00A27A5C" w:rsidRDefault="00613FA7" w:rsidP="000A544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16</w:t>
            </w:r>
            <w:r w:rsidR="00AF1E3E">
              <w:rPr>
                <w:b/>
                <w:sz w:val="28"/>
              </w:rPr>
              <w:t>.</w:t>
            </w:r>
            <w:r w:rsidR="000A5444">
              <w:rPr>
                <w:b/>
                <w:sz w:val="28"/>
                <w:lang w:val="en-US" w:eastAsia="zh-CN"/>
              </w:rPr>
              <w:t>7</w:t>
            </w:r>
            <w:r w:rsidR="00AF1E3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03FB5F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579764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B242C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680066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4FA3A" w14:textId="77777777" w:rsidR="00A27A5C" w:rsidRDefault="00AF1E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7A5C" w14:paraId="214E4A9B" w14:textId="77777777">
        <w:tc>
          <w:tcPr>
            <w:tcW w:w="9641" w:type="dxa"/>
            <w:gridSpan w:val="9"/>
          </w:tcPr>
          <w:p w14:paraId="726ED780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90CE96" w14:textId="77777777" w:rsidR="00A27A5C" w:rsidRDefault="00A27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A5C" w14:paraId="798B2C41" w14:textId="77777777">
        <w:tc>
          <w:tcPr>
            <w:tcW w:w="2835" w:type="dxa"/>
          </w:tcPr>
          <w:p w14:paraId="755225C2" w14:textId="77777777" w:rsidR="00A27A5C" w:rsidRDefault="00AF1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7F7870" w14:textId="77777777" w:rsidR="00A27A5C" w:rsidRDefault="00AF1E3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C4F5C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D3AD6" w14:textId="77777777"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70958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7E5A7F" w14:textId="77777777" w:rsidR="00A27A5C" w:rsidRDefault="00AF1E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298B2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88C759" w14:textId="77777777" w:rsidR="00A27A5C" w:rsidRDefault="00AF1E3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45D47" w14:textId="77777777" w:rsidR="00A27A5C" w:rsidRDefault="00A27A5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B2DB40C" w14:textId="77777777" w:rsidR="00A27A5C" w:rsidRDefault="00A27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A5C" w14:paraId="4F213DA2" w14:textId="77777777">
        <w:tc>
          <w:tcPr>
            <w:tcW w:w="9640" w:type="dxa"/>
            <w:gridSpan w:val="11"/>
          </w:tcPr>
          <w:p w14:paraId="536119A2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3E41C58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64B44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23A42" w14:textId="77777777" w:rsidR="00A27A5C" w:rsidRDefault="00AF1E3E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A27A5C" w14:paraId="493DA6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48850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59F3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4CDAB8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38CDD9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DE72E" w14:textId="51052D91" w:rsidR="00A27A5C" w:rsidRDefault="00E65FA3" w:rsidP="00D243C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106FA">
              <w:t xml:space="preserve">ZTE corporation, Ericsson, vivo, CMCC, China Telecom, China Unicom, </w:t>
            </w:r>
            <w:r>
              <w:t xml:space="preserve">Samsung, </w:t>
            </w:r>
            <w:r w:rsidRPr="00C24D83">
              <w:t>Nokia, Nokia Shanghai Bell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7106FA">
              <w:t>Sanechips</w:t>
            </w:r>
          </w:p>
        </w:tc>
      </w:tr>
      <w:tr w:rsidR="00A27A5C" w14:paraId="1325BB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E07E49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9ABEF" w14:textId="77777777" w:rsidR="00A27A5C" w:rsidRDefault="00AF1E3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A27A5C" w14:paraId="7E8A15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99E8BF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2A1E9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C536A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732F1E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35D0D" w14:textId="52B8D1FA" w:rsidR="00A27A5C" w:rsidRDefault="000C5B8C" w:rsidP="00525652">
            <w:pPr>
              <w:pStyle w:val="CRCoverPage"/>
              <w:spacing w:after="0"/>
              <w:ind w:left="100"/>
            </w:pPr>
            <w:r w:rsidRPr="000C5B8C">
              <w:t>LTE_5GCN_connect-Core</w:t>
            </w:r>
            <w:r>
              <w:rPr>
                <w:rFonts w:hint="eastAsia"/>
                <w:lang w:eastAsia="zh-CN"/>
              </w:rPr>
              <w:t>,</w:t>
            </w:r>
            <w:r w:rsidR="00DF7D81" w:rsidRPr="00DF7D81">
              <w:t xml:space="preserve"> </w:t>
            </w:r>
            <w:r w:rsidR="00B92947">
              <w:t>TEI</w:t>
            </w:r>
            <w:r w:rsidR="00525652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18759CAF" w14:textId="77777777" w:rsidR="00A27A5C" w:rsidRDefault="00A27A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89AB2" w14:textId="77777777" w:rsidR="00A27A5C" w:rsidRDefault="00AF1E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3968D" w14:textId="4BC9EAA1" w:rsidR="00A27A5C" w:rsidRDefault="00AF1E3E" w:rsidP="000C5B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B92947">
              <w:rPr>
                <w:lang w:val="en-US" w:eastAsia="zh-CN"/>
              </w:rPr>
              <w:t>2</w:t>
            </w:r>
            <w:r>
              <w:t>-</w:t>
            </w:r>
            <w:r w:rsidR="009458E0">
              <w:rPr>
                <w:lang w:val="en-US" w:eastAsia="zh-CN"/>
              </w:rPr>
              <w:t>0</w:t>
            </w:r>
            <w:r w:rsidR="00DF7D81">
              <w:rPr>
                <w:lang w:val="en-US" w:eastAsia="zh-CN"/>
              </w:rPr>
              <w:t>3</w:t>
            </w:r>
            <w:r>
              <w:t>-</w:t>
            </w:r>
            <w:r w:rsidR="00DF7D81">
              <w:rPr>
                <w:lang w:val="en-US" w:eastAsia="zh-CN"/>
              </w:rPr>
              <w:t>0</w:t>
            </w:r>
            <w:r w:rsidR="000C5B8C">
              <w:rPr>
                <w:lang w:val="en-US" w:eastAsia="zh-CN"/>
              </w:rPr>
              <w:t>2</w:t>
            </w:r>
          </w:p>
        </w:tc>
      </w:tr>
      <w:tr w:rsidR="00A27A5C" w14:paraId="51E53F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304550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FFF93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5CB1B9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AE1D8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56FAEE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00E036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880B3" w14:textId="77777777" w:rsidR="00A27A5C" w:rsidRDefault="00AF1E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FE3D5A" w14:textId="77777777" w:rsidR="00A27A5C" w:rsidRDefault="00AF1E3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8475DE" w14:textId="77777777" w:rsidR="00A27A5C" w:rsidRDefault="00A27A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AAD21" w14:textId="77777777" w:rsidR="00A27A5C" w:rsidRDefault="00AF1E3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C0789E" w14:textId="77777777" w:rsidR="00A27A5C" w:rsidRDefault="00AF1E3E" w:rsidP="00525652">
            <w:pPr>
              <w:pStyle w:val="CRCoverPage"/>
              <w:spacing w:after="0"/>
              <w:ind w:left="100"/>
            </w:pPr>
            <w:r>
              <w:t>Rel-1</w:t>
            </w:r>
            <w:r w:rsidR="00525652">
              <w:t>7</w:t>
            </w:r>
          </w:p>
        </w:tc>
      </w:tr>
      <w:tr w:rsidR="00A27A5C" w14:paraId="421904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AA6FD6" w14:textId="77777777"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913C1D" w14:textId="77777777" w:rsidR="00A27A5C" w:rsidRDefault="00AF1E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BBDB92" w14:textId="77777777" w:rsidR="00A27A5C" w:rsidRDefault="00AF1E3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3469E" w14:textId="77777777" w:rsidR="00A27A5C" w:rsidRDefault="00AF1E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27A5C" w14:paraId="0E522CAD" w14:textId="77777777">
        <w:tc>
          <w:tcPr>
            <w:tcW w:w="1843" w:type="dxa"/>
          </w:tcPr>
          <w:p w14:paraId="54BCAD67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523FA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6CEB01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8B02F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BAB8D" w14:textId="77777777" w:rsidR="00A27A5C" w:rsidRDefault="00AF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4D512E11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PF is given by following equation:</w:t>
            </w:r>
          </w:p>
          <w:p w14:paraId="3E61327E" w14:textId="77777777"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SFN mod T= (T div N)*(UE_ID mod N)</w:t>
            </w:r>
          </w:p>
          <w:p w14:paraId="31DAF054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Index i_s pointing to PO from subframe pattern will be derived from following calculation:</w:t>
            </w:r>
          </w:p>
          <w:p w14:paraId="37429737" w14:textId="77777777" w:rsidR="00A27A5C" w:rsidRDefault="00AF1E3E">
            <w:pPr>
              <w:pStyle w:val="B2"/>
              <w:ind w:leftChars="100" w:left="200" w:firstLine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i_s = floor(UE_ID/N) mod Ns</w:t>
            </w:r>
          </w:p>
          <w:p w14:paraId="10AFE483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 xml:space="preserve">T: </w:t>
            </w:r>
            <w:r>
              <w:rPr>
                <w:rFonts w:ascii="Arial" w:hAnsi="Arial" w:cs="Arial"/>
                <w:lang w:eastAsia="ko-KR"/>
              </w:rPr>
              <w:t>DRX cycle of the UE. Except for NB-IoT, if a UE specific extended DRX value of 512 radio frames is configured by upper layers according to 7.3, T =512. Otherwise, T is determined by the shortest of the UE specific DRX value, if allocated by upper layers, and a default DRX value broadcast in system information. If UE specific DRX is not configured by upper layers, the default value is applied. UE specific DRX is not applicable for NB-IoT. In RRC_INACTIVE state, T is determined by the shortest of the RAN paging cycle, the UE specific paging cycle, and the default paging cycle, if allocated by upper layers.</w:t>
            </w:r>
          </w:p>
          <w:p w14:paraId="46DE2CA9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>nB: 4T, 2T, T, T/2, T/4, T/8, T/16, T/32</w:t>
            </w:r>
            <w:r>
              <w:rPr>
                <w:rFonts w:ascii="Arial" w:eastAsia="宋体" w:hAnsi="Arial" w:cs="Arial"/>
                <w:lang w:eastAsia="zh-CN"/>
              </w:rPr>
              <w:t xml:space="preserve">, </w:t>
            </w:r>
            <w:r>
              <w:rPr>
                <w:rFonts w:ascii="Arial" w:hAnsi="Arial" w:cs="Arial"/>
              </w:rPr>
              <w:t>T/64, T/128</w:t>
            </w:r>
            <w:r>
              <w:rPr>
                <w:rFonts w:ascii="Arial" w:eastAsia="宋体" w:hAnsi="Arial" w:cs="Arial"/>
                <w:lang w:eastAsia="zh-CN"/>
              </w:rPr>
              <w:t>,</w:t>
            </w:r>
            <w:r>
              <w:rPr>
                <w:rFonts w:ascii="Arial" w:hAnsi="Arial" w:cs="Arial"/>
              </w:rPr>
              <w:t xml:space="preserve"> and T/256, and for NB-IoT also T/512, and T/1024.</w:t>
            </w:r>
          </w:p>
          <w:p w14:paraId="54643CA4" w14:textId="77777777" w:rsidR="00A27A5C" w:rsidRDefault="00AF1E3E">
            <w:pPr>
              <w:pStyle w:val="B1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ab/>
              <w:t>N: min(T,nB)</w:t>
            </w:r>
          </w:p>
          <w:p w14:paraId="247732FA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from  the T used in idle mode as NW is allowed to configure a RAN paging cycle different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from the UE specific paging cycle configured by upper layer or the default value in system information while the N used in calculation is still the one broadcast in candidate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T/16, T/32, T/64, T/128, or T/256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0BEB5AAB" w14:textId="77777777" w:rsidR="00A27A5C" w:rsidRDefault="00AF1E3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As a result, the index of the PO (i.e. the i_s) would be different for inactive state and idle state as the N is a value related to the T while the T has different value in idle and inactive state, which deviates from the intention that the POs of a UE for CN-initiated and RAN-initiated paging should be overlapped.</w:t>
            </w:r>
          </w:p>
          <w:p w14:paraId="5F020E49" w14:textId="08684A80" w:rsidR="00A27A5C" w:rsidRDefault="00AF1E3E" w:rsidP="00374017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To solve this PO mismatch for CN paging and RAN paging, </w:t>
            </w:r>
            <w:r w:rsidR="00374017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UE in inactive mode </w:t>
            </w:r>
            <w:r w:rsidR="00374017">
              <w:rPr>
                <w:rFonts w:ascii="Arial" w:hAnsi="Arial" w:cs="Arial"/>
                <w:lang w:val="en-US" w:eastAsia="zh-CN"/>
              </w:rPr>
              <w:t xml:space="preserve">shall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use the same </w:t>
            </w:r>
            <w:r>
              <w:rPr>
                <w:rFonts w:ascii="Arial" w:hAnsi="Arial" w:cs="Arial"/>
                <w:lang w:val="en-US" w:eastAsia="zh-CN"/>
              </w:rPr>
              <w:t>i_s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as in idle mode. And a UE capability should be introduced to show UE support for such behavior.</w:t>
            </w:r>
          </w:p>
        </w:tc>
      </w:tr>
      <w:tr w:rsidR="00A27A5C" w14:paraId="59BFE6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BE253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63730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02D9F4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23AB0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DFC6F" w14:textId="1CBB4767" w:rsidR="00A27A5C" w:rsidRPr="002676FC" w:rsidRDefault="00AF1E3E" w:rsidP="002676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 w:rsidR="00374017">
              <w:rPr>
                <w:lang w:val="en-US" w:eastAsia="zh-CN"/>
              </w:rPr>
              <w:t xml:space="preserve">a </w:t>
            </w:r>
            <w:r>
              <w:rPr>
                <w:rFonts w:hint="eastAsia"/>
                <w:lang w:val="en-US" w:eastAsia="zh-CN"/>
              </w:rPr>
              <w:t xml:space="preserve">UE capability to indicate support for UE in inactive mode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PO determination as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idle mode.</w:t>
            </w:r>
          </w:p>
        </w:tc>
      </w:tr>
      <w:tr w:rsidR="00A27A5C" w14:paraId="10A086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9C6AE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80265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4B3A8A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7A3D8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58BA2" w14:textId="0282332E" w:rsidR="00A27A5C" w:rsidRDefault="00AF1E3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NW is not aware </w:t>
            </w:r>
            <w:r w:rsidR="00374017">
              <w:rPr>
                <w:lang w:val="en-US" w:eastAsia="zh-CN"/>
              </w:rPr>
              <w:t xml:space="preserve">of </w:t>
            </w:r>
            <w:r>
              <w:rPr>
                <w:rFonts w:hint="eastAsia"/>
                <w:lang w:val="en-US" w:eastAsia="zh-CN"/>
              </w:rPr>
              <w:t>whether a UE support</w:t>
            </w:r>
            <w:r w:rsidR="00374017"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use the same </w:t>
            </w:r>
            <w:r>
              <w:rPr>
                <w:lang w:val="en-US" w:eastAsia="zh-CN"/>
              </w:rPr>
              <w:t>i_s</w:t>
            </w:r>
            <w:r>
              <w:rPr>
                <w:rFonts w:hint="eastAsia"/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A27A5C" w14:paraId="63E748E0" w14:textId="77777777">
        <w:tc>
          <w:tcPr>
            <w:tcW w:w="2694" w:type="dxa"/>
            <w:gridSpan w:val="2"/>
          </w:tcPr>
          <w:p w14:paraId="1FE27F72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FF6AE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1465C4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3A725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01440" w14:textId="77777777" w:rsidR="00A27A5C" w:rsidRDefault="00AF1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4.3.36</w:t>
            </w:r>
          </w:p>
        </w:tc>
      </w:tr>
      <w:tr w:rsidR="00A27A5C" w14:paraId="42CB28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2699D" w14:textId="77777777" w:rsidR="00A27A5C" w:rsidRDefault="00A27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A67C1" w14:textId="77777777" w:rsidR="00A27A5C" w:rsidRDefault="00A27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7A5C" w14:paraId="718FBD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BC1B5" w14:textId="77777777"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2E776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06883D" w14:textId="77777777" w:rsidR="00A27A5C" w:rsidRDefault="00AF1E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A554FD" w14:textId="77777777" w:rsidR="00A27A5C" w:rsidRDefault="00A27A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5D06" w14:textId="77777777" w:rsidR="00A27A5C" w:rsidRDefault="00A27A5C">
            <w:pPr>
              <w:pStyle w:val="CRCoverPage"/>
              <w:spacing w:after="0"/>
              <w:ind w:left="99"/>
            </w:pPr>
          </w:p>
        </w:tc>
      </w:tr>
      <w:tr w:rsidR="00A27A5C" w14:paraId="241A95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1BB9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D5BC1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C2E5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A52A57B" w14:textId="77777777" w:rsidR="00A27A5C" w:rsidRDefault="00AF1E3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334CE" w14:textId="6DB5B99A" w:rsidR="00A27A5C" w:rsidRDefault="00AF1E3E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36.331</w:t>
            </w:r>
            <w:r>
              <w:t xml:space="preserve"> CR </w:t>
            </w:r>
            <w:r w:rsidR="00920C27">
              <w:t>4759</w:t>
            </w:r>
          </w:p>
          <w:p w14:paraId="232D8380" w14:textId="2F5AC5F7" w:rsidR="007C3E1B" w:rsidRDefault="007C3E1B" w:rsidP="00920C27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36.304 </w:t>
            </w:r>
            <w:r>
              <w:t xml:space="preserve">CR </w:t>
            </w:r>
            <w:r w:rsidR="00096C7C">
              <w:t>08</w:t>
            </w:r>
            <w:r w:rsidR="00920C27">
              <w:t>40</w:t>
            </w:r>
          </w:p>
        </w:tc>
      </w:tr>
      <w:tr w:rsidR="00A27A5C" w14:paraId="56F47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84E72" w14:textId="77777777"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62EDA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026F5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33C9A" w14:textId="77777777" w:rsidR="00A27A5C" w:rsidRDefault="00AF1E3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8B13E" w14:textId="77777777" w:rsidR="00A27A5C" w:rsidRDefault="007C3E1B">
            <w:pPr>
              <w:pStyle w:val="CRCoverPage"/>
              <w:spacing w:after="0"/>
              <w:ind w:left="99"/>
            </w:pPr>
            <w:r>
              <w:t>TS/TR...  CR ...</w:t>
            </w:r>
          </w:p>
        </w:tc>
      </w:tr>
      <w:tr w:rsidR="00A27A5C" w14:paraId="040A11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A927" w14:textId="77777777" w:rsidR="00A27A5C" w:rsidRDefault="00AF1E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D2D6A" w14:textId="77777777" w:rsidR="00A27A5C" w:rsidRDefault="00A27A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3F2E1" w14:textId="77777777" w:rsidR="00A27A5C" w:rsidRDefault="006304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69847F" w14:textId="77777777" w:rsidR="00A27A5C" w:rsidRDefault="00AF1E3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CBF0D" w14:textId="77777777" w:rsidR="00A27A5C" w:rsidRDefault="00AF1E3E">
            <w:pPr>
              <w:pStyle w:val="CRCoverPage"/>
              <w:spacing w:after="0"/>
              <w:ind w:left="99"/>
            </w:pPr>
            <w:r>
              <w:t xml:space="preserve">TS/TR...  CR ... </w:t>
            </w:r>
          </w:p>
        </w:tc>
      </w:tr>
      <w:tr w:rsidR="00A27A5C" w14:paraId="16F107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D8DA0" w14:textId="77777777" w:rsidR="00A27A5C" w:rsidRDefault="00A27A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EE919" w14:textId="77777777" w:rsidR="00A27A5C" w:rsidRDefault="00A27A5C">
            <w:pPr>
              <w:pStyle w:val="CRCoverPage"/>
              <w:spacing w:after="0"/>
            </w:pPr>
          </w:p>
        </w:tc>
      </w:tr>
      <w:tr w:rsidR="00A27A5C" w14:paraId="1903BD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28EA8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782DA" w14:textId="77777777" w:rsidR="00A27A5C" w:rsidRDefault="00A27A5C">
            <w:pPr>
              <w:pStyle w:val="CRCoverPage"/>
              <w:spacing w:after="0"/>
              <w:ind w:left="100"/>
            </w:pPr>
          </w:p>
        </w:tc>
      </w:tr>
      <w:tr w:rsidR="00A27A5C" w14:paraId="62400A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DF066" w14:textId="77777777" w:rsidR="00A27A5C" w:rsidRDefault="00A27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C5405" w14:textId="77777777" w:rsidR="00A27A5C" w:rsidRDefault="00A27A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7A5C" w14:paraId="718ABD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FE809" w14:textId="77777777" w:rsidR="00A27A5C" w:rsidRDefault="00AF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5751E" w14:textId="77777777" w:rsidR="00A27A5C" w:rsidRDefault="00A27A5C">
            <w:pPr>
              <w:pStyle w:val="CRCoverPage"/>
              <w:spacing w:after="0"/>
              <w:ind w:left="100"/>
            </w:pPr>
          </w:p>
        </w:tc>
      </w:tr>
    </w:tbl>
    <w:p w14:paraId="7288CA9A" w14:textId="77777777" w:rsidR="00A27A5C" w:rsidRDefault="00A27A5C">
      <w:pPr>
        <w:pStyle w:val="CRCoverPage"/>
        <w:spacing w:after="0"/>
        <w:rPr>
          <w:sz w:val="8"/>
          <w:szCs w:val="8"/>
        </w:rPr>
      </w:pPr>
    </w:p>
    <w:p w14:paraId="04D17301" w14:textId="77777777" w:rsidR="00A27A5C" w:rsidRDefault="00A27A5C">
      <w:pPr>
        <w:sectPr w:rsidR="00A27A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F53DF2D" w14:textId="77777777"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52CA8DA8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zh-CN"/>
        </w:rPr>
      </w:pPr>
      <w:bookmarkStart w:id="3" w:name="_Toc90587675"/>
      <w:bookmarkStart w:id="4" w:name="_Toc29241613"/>
      <w:bookmarkStart w:id="5" w:name="_Toc37153082"/>
      <w:bookmarkStart w:id="6" w:name="_Toc83650989"/>
      <w:bookmarkStart w:id="7" w:name="_Toc37237023"/>
      <w:bookmarkStart w:id="8" w:name="_Toc46494202"/>
      <w:bookmarkStart w:id="9" w:name="_Toc52535096"/>
      <w:bookmarkStart w:id="10" w:name="_Toc76426242"/>
      <w:bookmarkStart w:id="11" w:name="_Toc37093368"/>
      <w:bookmarkStart w:id="12" w:name="_Toc46509431"/>
      <w:bookmarkStart w:id="13" w:name="_Toc29382251"/>
      <w:bookmarkStart w:id="14" w:name="_Toc36756991"/>
      <w:bookmarkStart w:id="15" w:name="_Toc29321276"/>
      <w:bookmarkStart w:id="16" w:name="_Toc20425880"/>
      <w:bookmarkStart w:id="17" w:name="_Toc67918579"/>
      <w:bookmarkStart w:id="18" w:name="_Toc12750887"/>
      <w:bookmarkStart w:id="19" w:name="_Toc36836532"/>
      <w:bookmarkStart w:id="20" w:name="_Toc20425829"/>
      <w:bookmarkStart w:id="21" w:name="_Toc37067798"/>
      <w:bookmarkStart w:id="22" w:name="_Toc29321225"/>
      <w:bookmarkStart w:id="23" w:name="_Toc52569462"/>
      <w:bookmarkStart w:id="24" w:name="_Toc36843509"/>
      <w:r w:rsidRPr="001B2BB3">
        <w:rPr>
          <w:rFonts w:ascii="Arial" w:eastAsia="游明朝" w:hAnsi="Arial"/>
          <w:sz w:val="28"/>
          <w:lang w:eastAsia="zh-CN"/>
        </w:rPr>
        <w:t>4.3.36</w:t>
      </w:r>
      <w:r w:rsidRPr="001B2BB3">
        <w:rPr>
          <w:rFonts w:ascii="Arial" w:eastAsia="游明朝" w:hAnsi="Arial"/>
          <w:sz w:val="28"/>
          <w:lang w:eastAsia="zh-CN"/>
        </w:rPr>
        <w:tab/>
        <w:t>E-UTRA/5GC Parameters</w:t>
      </w:r>
      <w:bookmarkEnd w:id="3"/>
    </w:p>
    <w:p w14:paraId="3FA93EBF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25" w:name="_Toc29241614"/>
      <w:bookmarkStart w:id="26" w:name="_Toc37153083"/>
      <w:bookmarkStart w:id="27" w:name="_Toc37237024"/>
      <w:bookmarkStart w:id="28" w:name="_Toc46494203"/>
      <w:bookmarkStart w:id="29" w:name="_Toc52535097"/>
      <w:bookmarkStart w:id="30" w:name="_Toc90587676"/>
      <w:r w:rsidRPr="001B2BB3">
        <w:rPr>
          <w:rFonts w:ascii="Arial" w:eastAsia="游明朝" w:hAnsi="Arial"/>
          <w:sz w:val="24"/>
          <w:lang w:eastAsia="zh-CN"/>
        </w:rPr>
        <w:t>4.3.36.1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eutra-5GC-r15</w:t>
      </w:r>
      <w:bookmarkEnd w:id="25"/>
      <w:bookmarkEnd w:id="26"/>
      <w:bookmarkEnd w:id="27"/>
      <w:bookmarkEnd w:id="28"/>
      <w:bookmarkEnd w:id="29"/>
      <w:bookmarkEnd w:id="30"/>
    </w:p>
    <w:p w14:paraId="5AD9019F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>This field indicates whether the UE supports E-UTRA/5GC.</w:t>
      </w:r>
    </w:p>
    <w:p w14:paraId="5220219A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31" w:name="_Toc29241615"/>
      <w:bookmarkStart w:id="32" w:name="_Toc37153084"/>
      <w:bookmarkStart w:id="33" w:name="_Toc37237025"/>
      <w:bookmarkStart w:id="34" w:name="_Toc46494204"/>
      <w:bookmarkStart w:id="35" w:name="_Toc52535098"/>
      <w:bookmarkStart w:id="36" w:name="_Toc90587677"/>
      <w:r w:rsidRPr="001B2BB3">
        <w:rPr>
          <w:rFonts w:ascii="Arial" w:eastAsia="游明朝" w:hAnsi="Arial"/>
          <w:sz w:val="24"/>
          <w:lang w:eastAsia="zh-CN"/>
        </w:rPr>
        <w:t>4.3.36.2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eutra-EPC-HO-EUTRA-5GC-r15</w:t>
      </w:r>
      <w:bookmarkEnd w:id="31"/>
      <w:bookmarkEnd w:id="32"/>
      <w:bookmarkEnd w:id="33"/>
      <w:bookmarkEnd w:id="34"/>
      <w:bookmarkEnd w:id="35"/>
      <w:bookmarkEnd w:id="36"/>
    </w:p>
    <w:p w14:paraId="35B5FFEA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>This field indicates whether the UE supports handover between E-UTRA/EPC and E-UTRA/5GC. It is mandatory for UEs of this release of the specification if the UE supports the associated core networks.</w:t>
      </w:r>
    </w:p>
    <w:p w14:paraId="22278E39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37" w:name="_Toc29241616"/>
      <w:bookmarkStart w:id="38" w:name="_Toc37153085"/>
      <w:bookmarkStart w:id="39" w:name="_Toc37237026"/>
      <w:bookmarkStart w:id="40" w:name="_Toc46494205"/>
      <w:bookmarkStart w:id="41" w:name="_Toc52535099"/>
      <w:bookmarkStart w:id="42" w:name="_Toc90587678"/>
      <w:r w:rsidRPr="001B2BB3">
        <w:rPr>
          <w:rFonts w:ascii="Arial" w:eastAsia="游明朝" w:hAnsi="Arial"/>
          <w:sz w:val="24"/>
          <w:lang w:eastAsia="zh-CN"/>
        </w:rPr>
        <w:t>4.3.36.3</w:t>
      </w:r>
      <w:r w:rsidRPr="001B2BB3">
        <w:rPr>
          <w:rFonts w:ascii="Arial" w:eastAsia="游明朝" w:hAnsi="Arial"/>
          <w:sz w:val="24"/>
          <w:lang w:eastAsia="zh-CN"/>
        </w:rPr>
        <w:tab/>
        <w:t>Void</w:t>
      </w:r>
      <w:bookmarkEnd w:id="37"/>
      <w:bookmarkEnd w:id="38"/>
      <w:bookmarkEnd w:id="39"/>
      <w:bookmarkEnd w:id="40"/>
      <w:bookmarkEnd w:id="41"/>
      <w:bookmarkEnd w:id="42"/>
    </w:p>
    <w:p w14:paraId="6287EEDB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43" w:name="_Toc29241617"/>
      <w:bookmarkStart w:id="44" w:name="_Toc37153086"/>
      <w:bookmarkStart w:id="45" w:name="_Toc37237027"/>
      <w:bookmarkStart w:id="46" w:name="_Toc46494206"/>
      <w:bookmarkStart w:id="47" w:name="_Toc52535100"/>
      <w:bookmarkStart w:id="48" w:name="_Toc90587679"/>
      <w:r w:rsidRPr="001B2BB3">
        <w:rPr>
          <w:rFonts w:ascii="Arial" w:eastAsia="游明朝" w:hAnsi="Arial"/>
          <w:sz w:val="24"/>
          <w:lang w:eastAsia="zh-CN"/>
        </w:rPr>
        <w:t>4.3.36.4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ho-EUTRA-5GC-FDD-TDD-r15</w:t>
      </w:r>
      <w:bookmarkEnd w:id="43"/>
      <w:bookmarkEnd w:id="44"/>
      <w:bookmarkEnd w:id="45"/>
      <w:bookmarkEnd w:id="46"/>
      <w:bookmarkEnd w:id="47"/>
      <w:bookmarkEnd w:id="48"/>
    </w:p>
    <w:p w14:paraId="13E332B6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handover between E-UTRA/5GC FDD and E-UTRA/5GC TDD. It is mandatory for UEs of this release of the specification if the UE supports </w:t>
      </w:r>
      <w:r w:rsidRPr="001B2BB3">
        <w:rPr>
          <w:rFonts w:eastAsia="游明朝"/>
          <w:i/>
          <w:lang w:eastAsia="zh-CN"/>
        </w:rPr>
        <w:t>eutra-5GC-r15</w:t>
      </w:r>
      <w:r w:rsidRPr="001B2BB3">
        <w:rPr>
          <w:rFonts w:eastAsia="游明朝"/>
          <w:lang w:eastAsia="zh-CN"/>
        </w:rPr>
        <w:t xml:space="preserve"> and the associated RATs.</w:t>
      </w:r>
    </w:p>
    <w:p w14:paraId="0E1D19DB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49" w:name="_Toc29241618"/>
      <w:bookmarkStart w:id="50" w:name="_Toc37153087"/>
      <w:bookmarkStart w:id="51" w:name="_Toc37237028"/>
      <w:bookmarkStart w:id="52" w:name="_Toc46494207"/>
      <w:bookmarkStart w:id="53" w:name="_Toc52535101"/>
      <w:bookmarkStart w:id="54" w:name="_Toc90587680"/>
      <w:r w:rsidRPr="001B2BB3">
        <w:rPr>
          <w:rFonts w:ascii="Arial" w:eastAsia="游明朝" w:hAnsi="Arial"/>
          <w:sz w:val="24"/>
          <w:lang w:eastAsia="zh-CN"/>
        </w:rPr>
        <w:t>4.3.36.5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ho-InterfreqEUTRA-5GC-r15</w:t>
      </w:r>
      <w:bookmarkEnd w:id="49"/>
      <w:bookmarkEnd w:id="50"/>
      <w:bookmarkEnd w:id="51"/>
      <w:bookmarkEnd w:id="52"/>
      <w:bookmarkEnd w:id="53"/>
      <w:bookmarkEnd w:id="54"/>
    </w:p>
    <w:p w14:paraId="0D75A0B5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>This field indicates whether the UE supports inter frequency handover within E-UTRA/5GC. It is mandatory for UEs of this release of the specification.</w:t>
      </w:r>
    </w:p>
    <w:p w14:paraId="74A2F16E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55" w:name="_Toc29241619"/>
      <w:bookmarkStart w:id="56" w:name="_Toc37153088"/>
      <w:bookmarkStart w:id="57" w:name="_Toc37237029"/>
      <w:bookmarkStart w:id="58" w:name="_Toc46494208"/>
      <w:bookmarkStart w:id="59" w:name="_Toc52535102"/>
      <w:bookmarkStart w:id="60" w:name="_Toc90587681"/>
      <w:r w:rsidRPr="001B2BB3">
        <w:rPr>
          <w:rFonts w:ascii="Arial" w:eastAsia="游明朝" w:hAnsi="Arial"/>
          <w:sz w:val="24"/>
          <w:lang w:eastAsia="zh-CN"/>
        </w:rPr>
        <w:t>4.3.36.6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IMS-VoiceOverMCG-BearerEUTRA-5GC-r15</w:t>
      </w:r>
      <w:bookmarkEnd w:id="55"/>
      <w:bookmarkEnd w:id="56"/>
      <w:bookmarkEnd w:id="57"/>
      <w:bookmarkEnd w:id="58"/>
      <w:bookmarkEnd w:id="59"/>
      <w:bookmarkEnd w:id="60"/>
    </w:p>
    <w:p w14:paraId="2A14F336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IMS voice over NR PDCP for MCG bearer for E-UTRA/5GC. It is mandated to the IMS voice capable UE if the UE supports </w:t>
      </w:r>
      <w:r w:rsidRPr="001B2BB3">
        <w:rPr>
          <w:rFonts w:eastAsia="游明朝"/>
          <w:i/>
          <w:lang w:eastAsia="zh-CN"/>
        </w:rPr>
        <w:t>eutra-5GC-r15</w:t>
      </w:r>
      <w:r w:rsidRPr="001B2BB3">
        <w:rPr>
          <w:rFonts w:eastAsia="游明朝"/>
          <w:lang w:eastAsia="zh-CN"/>
        </w:rPr>
        <w:t>.</w:t>
      </w:r>
    </w:p>
    <w:p w14:paraId="00C327FA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61" w:name="_Toc37237030"/>
      <w:bookmarkStart w:id="62" w:name="_Toc46494209"/>
      <w:bookmarkStart w:id="63" w:name="_Toc52535103"/>
      <w:bookmarkStart w:id="64" w:name="_Toc90587682"/>
      <w:r w:rsidRPr="001B2BB3">
        <w:rPr>
          <w:rFonts w:ascii="Arial" w:eastAsia="游明朝" w:hAnsi="Arial"/>
          <w:sz w:val="24"/>
          <w:lang w:eastAsia="zh-CN"/>
        </w:rPr>
        <w:t>4.3.36.7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inactiveState-r15</w:t>
      </w:r>
      <w:bookmarkEnd w:id="61"/>
      <w:bookmarkEnd w:id="62"/>
      <w:bookmarkEnd w:id="63"/>
      <w:bookmarkEnd w:id="64"/>
    </w:p>
    <w:p w14:paraId="59E14EA0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RRC_INACTIVE. It is mandatory for UEs of this release of the specification if the UE supports </w:t>
      </w:r>
      <w:r w:rsidRPr="001B2BB3">
        <w:rPr>
          <w:rFonts w:eastAsia="游明朝"/>
          <w:i/>
          <w:lang w:eastAsia="zh-CN"/>
        </w:rPr>
        <w:t>eutra-5GC-r15</w:t>
      </w:r>
      <w:r w:rsidRPr="001B2BB3">
        <w:rPr>
          <w:rFonts w:eastAsia="游明朝"/>
          <w:lang w:eastAsia="zh-CN"/>
        </w:rPr>
        <w:t>.</w:t>
      </w:r>
    </w:p>
    <w:p w14:paraId="339241CB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65" w:name="_Toc90587683"/>
      <w:r w:rsidRPr="001B2BB3">
        <w:rPr>
          <w:rFonts w:ascii="Arial" w:eastAsia="游明朝" w:hAnsi="Arial"/>
          <w:sz w:val="24"/>
          <w:lang w:eastAsia="zh-CN"/>
        </w:rPr>
        <w:t>4.3.36.8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reflectiveQoS-r15</w:t>
      </w:r>
      <w:bookmarkEnd w:id="65"/>
    </w:p>
    <w:p w14:paraId="0CF2DCBF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>This field indicates whether the UE supports AS reflective QoS.</w:t>
      </w:r>
    </w:p>
    <w:p w14:paraId="5C0B3040" w14:textId="77777777" w:rsidR="001B2BB3" w:rsidRPr="001B2BB3" w:rsidRDefault="001B2BB3" w:rsidP="001B2BB3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8700"/>
        </w:tabs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66" w:name="_Toc37237032"/>
      <w:bookmarkStart w:id="67" w:name="_Toc46494211"/>
      <w:bookmarkStart w:id="68" w:name="_Toc52535105"/>
      <w:bookmarkStart w:id="69" w:name="_Toc90587684"/>
      <w:r w:rsidRPr="001B2BB3">
        <w:rPr>
          <w:rFonts w:ascii="Arial" w:eastAsia="游明朝" w:hAnsi="Arial"/>
          <w:sz w:val="24"/>
          <w:lang w:eastAsia="ja-JP"/>
        </w:rPr>
        <w:t>4.3.36.9</w:t>
      </w:r>
      <w:r w:rsidRPr="001B2BB3">
        <w:rPr>
          <w:rFonts w:ascii="Arial" w:eastAsia="游明朝" w:hAnsi="Arial"/>
          <w:sz w:val="24"/>
          <w:lang w:eastAsia="ja-JP"/>
        </w:rPr>
        <w:tab/>
      </w:r>
      <w:r w:rsidRPr="001B2BB3">
        <w:rPr>
          <w:rFonts w:ascii="Arial" w:eastAsia="游明朝" w:hAnsi="Arial"/>
          <w:i/>
          <w:sz w:val="24"/>
          <w:lang w:eastAsia="ja-JP"/>
        </w:rPr>
        <w:t>earlyData-UP-5GC-r16</w:t>
      </w:r>
      <w:bookmarkEnd w:id="66"/>
      <w:bookmarkEnd w:id="67"/>
      <w:bookmarkEnd w:id="68"/>
      <w:bookmarkEnd w:id="69"/>
    </w:p>
    <w:p w14:paraId="3446EF2D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en-GB"/>
        </w:rPr>
      </w:pPr>
      <w:r w:rsidRPr="001B2BB3">
        <w:rPr>
          <w:rFonts w:eastAsia="游明朝"/>
          <w:lang w:eastAsia="ja-JP"/>
        </w:rPr>
        <w:t xml:space="preserve">This field indicates whether the UE supports MO-EDT for User Plane CIoT 5GS optimisations, as defined in TS 24.501 [39]. </w:t>
      </w:r>
      <w:r w:rsidRPr="001B2BB3">
        <w:rPr>
          <w:rFonts w:eastAsia="宋体"/>
          <w:lang w:eastAsia="en-GB"/>
        </w:rPr>
        <w:t xml:space="preserve">This feature is only applicable if the UE supports </w:t>
      </w:r>
      <w:r w:rsidRPr="001B2BB3">
        <w:rPr>
          <w:rFonts w:eastAsia="宋体"/>
          <w:i/>
          <w:lang w:eastAsia="en-GB"/>
        </w:rPr>
        <w:t>ce-ModeA-r13,</w:t>
      </w:r>
      <w:r w:rsidRPr="001B2BB3">
        <w:rPr>
          <w:rFonts w:eastAsia="宋体"/>
          <w:lang w:eastAsia="en-GB"/>
        </w:rPr>
        <w:t xml:space="preserve"> or</w:t>
      </w:r>
      <w:r w:rsidRPr="001B2BB3">
        <w:rPr>
          <w:rFonts w:eastAsia="游明朝"/>
          <w:lang w:eastAsia="ja-JP"/>
        </w:rPr>
        <w:t xml:space="preserve"> for FDD if the UE supports any </w:t>
      </w:r>
      <w:r w:rsidRPr="001B2BB3">
        <w:rPr>
          <w:rFonts w:eastAsia="游明朝"/>
          <w:i/>
          <w:lang w:eastAsia="ja-JP"/>
        </w:rPr>
        <w:t>ue-Category-NB</w:t>
      </w:r>
      <w:r w:rsidRPr="001B2BB3">
        <w:rPr>
          <w:rFonts w:eastAsia="宋体"/>
          <w:lang w:eastAsia="en-GB"/>
        </w:rPr>
        <w:t>.</w:t>
      </w:r>
    </w:p>
    <w:p w14:paraId="205268B7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70" w:name="_Toc37237033"/>
      <w:bookmarkStart w:id="71" w:name="_Toc46494212"/>
      <w:bookmarkStart w:id="72" w:name="_Toc52535106"/>
      <w:bookmarkStart w:id="73" w:name="_Toc90587685"/>
      <w:r w:rsidRPr="001B2BB3">
        <w:rPr>
          <w:rFonts w:ascii="Arial" w:eastAsia="游明朝" w:hAnsi="Arial"/>
          <w:sz w:val="24"/>
          <w:lang w:eastAsia="zh-CN"/>
        </w:rPr>
        <w:t>4.3.36.10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ce-InactiveState-r16</w:t>
      </w:r>
      <w:bookmarkEnd w:id="70"/>
      <w:bookmarkEnd w:id="71"/>
      <w:bookmarkEnd w:id="72"/>
      <w:bookmarkEnd w:id="73"/>
    </w:p>
    <w:p w14:paraId="14880661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RRC_INACTIVE state with extended DRX cycles up to 10.24s without PTW </w:t>
      </w:r>
      <w:r w:rsidRPr="001B2BB3">
        <w:rPr>
          <w:rFonts w:eastAsia="游明朝"/>
          <w:lang w:eastAsia="en-GB"/>
        </w:rPr>
        <w:t xml:space="preserve">when the UE is operating in coverage enhancement mode A or B </w:t>
      </w:r>
      <w:r w:rsidRPr="001B2BB3">
        <w:rPr>
          <w:rFonts w:eastAsia="游明朝"/>
          <w:lang w:eastAsia="ja-JP"/>
        </w:rPr>
        <w:t>as specified in TS 36.331 [5]</w:t>
      </w:r>
      <w:r w:rsidRPr="001B2BB3" w:rsidDel="006D2CCE">
        <w:rPr>
          <w:rFonts w:eastAsia="游明朝"/>
          <w:sz w:val="16"/>
          <w:lang w:eastAsia="ja-JP"/>
        </w:rPr>
        <w:t xml:space="preserve"> </w:t>
      </w:r>
      <w:r w:rsidRPr="001B2BB3">
        <w:rPr>
          <w:rFonts w:eastAsia="游明朝"/>
          <w:lang w:eastAsia="zh-CN"/>
        </w:rPr>
        <w:t xml:space="preserve">. </w:t>
      </w:r>
      <w:r w:rsidRPr="001B2BB3">
        <w:rPr>
          <w:rFonts w:eastAsia="游明朝"/>
          <w:lang w:eastAsia="ja-JP"/>
        </w:rPr>
        <w:t xml:space="preserve">A UE indicating support of </w:t>
      </w:r>
      <w:r w:rsidRPr="001B2BB3">
        <w:rPr>
          <w:rFonts w:eastAsia="游明朝"/>
          <w:i/>
          <w:iCs/>
          <w:lang w:eastAsia="ja-JP"/>
        </w:rPr>
        <w:t>ce-InactiveState-r16</w:t>
      </w:r>
      <w:r w:rsidRPr="001B2BB3">
        <w:rPr>
          <w:rFonts w:eastAsia="游明朝"/>
          <w:lang w:eastAsia="ja-JP"/>
        </w:rPr>
        <w:t xml:space="preserve"> shall also indicate support of</w:t>
      </w:r>
      <w:r w:rsidRPr="001B2BB3">
        <w:rPr>
          <w:rFonts w:eastAsia="游明朝"/>
          <w:lang w:eastAsia="en-GB"/>
        </w:rPr>
        <w:t xml:space="preserve"> </w:t>
      </w:r>
      <w:r w:rsidRPr="001B2BB3">
        <w:rPr>
          <w:rFonts w:eastAsia="游明朝"/>
          <w:i/>
          <w:lang w:eastAsia="en-GB"/>
        </w:rPr>
        <w:t>ce-ModeA-r13</w:t>
      </w:r>
      <w:r w:rsidRPr="001B2BB3">
        <w:rPr>
          <w:rFonts w:eastAsia="游明朝"/>
          <w:lang w:eastAsia="zh-CN"/>
        </w:rPr>
        <w:t>.</w:t>
      </w:r>
    </w:p>
    <w:p w14:paraId="41697F2B" w14:textId="77777777" w:rsidR="001B2BB3" w:rsidRPr="001B2BB3" w:rsidRDefault="001B2BB3" w:rsidP="001B2B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zh-CN"/>
        </w:rPr>
      </w:pPr>
      <w:bookmarkStart w:id="74" w:name="_Toc46494213"/>
      <w:bookmarkStart w:id="75" w:name="_Toc52535107"/>
      <w:bookmarkStart w:id="76" w:name="_Toc90587686"/>
      <w:r w:rsidRPr="001B2BB3">
        <w:rPr>
          <w:rFonts w:ascii="Arial" w:eastAsia="游明朝" w:hAnsi="Arial"/>
          <w:sz w:val="24"/>
          <w:lang w:eastAsia="zh-CN"/>
        </w:rPr>
        <w:t>4.3.36.11</w:t>
      </w:r>
      <w:r w:rsidRPr="001B2BB3">
        <w:rPr>
          <w:rFonts w:ascii="Arial" w:eastAsia="游明朝" w:hAnsi="Arial"/>
          <w:sz w:val="24"/>
          <w:lang w:eastAsia="zh-CN"/>
        </w:rPr>
        <w:tab/>
      </w:r>
      <w:r w:rsidRPr="001B2BB3">
        <w:rPr>
          <w:rFonts w:ascii="Arial" w:eastAsia="游明朝" w:hAnsi="Arial"/>
          <w:i/>
          <w:sz w:val="24"/>
          <w:lang w:eastAsia="zh-CN"/>
        </w:rPr>
        <w:t>ce-EUTRA-5GC-r16</w:t>
      </w:r>
      <w:bookmarkEnd w:id="74"/>
      <w:bookmarkEnd w:id="75"/>
      <w:bookmarkEnd w:id="76"/>
    </w:p>
    <w:p w14:paraId="07407CDA" w14:textId="77777777" w:rsidR="001B2BB3" w:rsidRPr="001B2BB3" w:rsidRDefault="001B2BB3" w:rsidP="001B2B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游明朝"/>
          <w:lang w:eastAsia="zh-CN"/>
        </w:rPr>
      </w:pPr>
      <w:r w:rsidRPr="001B2BB3">
        <w:rPr>
          <w:rFonts w:eastAsia="游明朝"/>
          <w:lang w:eastAsia="zh-CN"/>
        </w:rPr>
        <w:t xml:space="preserve">This field indicates whether the UE supports E-UTRA/5GC </w:t>
      </w:r>
      <w:r w:rsidRPr="001B2BB3">
        <w:rPr>
          <w:rFonts w:eastAsia="游明朝"/>
          <w:lang w:eastAsia="en-GB"/>
        </w:rPr>
        <w:t xml:space="preserve">when the UE is operating in coverage enhancement mode A or B </w:t>
      </w:r>
      <w:r w:rsidRPr="001B2BB3">
        <w:rPr>
          <w:rFonts w:eastAsia="游明朝"/>
          <w:lang w:eastAsia="ja-JP"/>
        </w:rPr>
        <w:t>as specified in TS 36.331 [5]</w:t>
      </w:r>
      <w:r w:rsidRPr="001B2BB3">
        <w:rPr>
          <w:rFonts w:eastAsia="游明朝"/>
          <w:lang w:eastAsia="zh-CN"/>
        </w:rPr>
        <w:t xml:space="preserve">. </w:t>
      </w:r>
      <w:r w:rsidRPr="001B2BB3">
        <w:rPr>
          <w:rFonts w:eastAsia="游明朝"/>
          <w:lang w:eastAsia="ja-JP"/>
        </w:rPr>
        <w:t xml:space="preserve">A UE indicating support of </w:t>
      </w:r>
      <w:r w:rsidRPr="001B2BB3">
        <w:rPr>
          <w:rFonts w:eastAsia="游明朝"/>
          <w:i/>
          <w:iCs/>
          <w:lang w:eastAsia="ja-JP"/>
        </w:rPr>
        <w:t>ce-EUTRA-5GC-r16</w:t>
      </w:r>
      <w:r w:rsidRPr="001B2BB3">
        <w:rPr>
          <w:rFonts w:eastAsia="游明朝"/>
          <w:lang w:eastAsia="ja-JP"/>
        </w:rPr>
        <w:t xml:space="preserve"> shall also indicate support of </w:t>
      </w:r>
      <w:r w:rsidRPr="001B2BB3">
        <w:rPr>
          <w:rFonts w:eastAsia="游明朝"/>
          <w:i/>
          <w:lang w:eastAsia="en-GB"/>
        </w:rPr>
        <w:t>ce-ModeA-r13</w:t>
      </w:r>
      <w:r w:rsidRPr="001B2BB3">
        <w:rPr>
          <w:rFonts w:eastAsia="游明朝"/>
          <w:lang w:eastAsia="zh-CN"/>
        </w:rPr>
        <w:t>.</w:t>
      </w:r>
    </w:p>
    <w:bookmarkEnd w:id="4"/>
    <w:bookmarkEnd w:id="5"/>
    <w:bookmarkEnd w:id="6"/>
    <w:bookmarkEnd w:id="7"/>
    <w:bookmarkEnd w:id="8"/>
    <w:bookmarkEnd w:id="9"/>
    <w:bookmarkEnd w:id="10"/>
    <w:p w14:paraId="5BF82F8C" w14:textId="3DC65BA3" w:rsidR="00DC16E8" w:rsidRDefault="00DC16E8" w:rsidP="00DC16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ZTE(Yuan)" w:date="2021-11-11T15:56:00Z"/>
          <w:rFonts w:ascii="Arial" w:eastAsia="Times New Roman" w:hAnsi="Arial"/>
          <w:sz w:val="24"/>
          <w:lang w:val="en-US" w:eastAsia="zh-CN"/>
        </w:rPr>
      </w:pPr>
      <w:ins w:id="78" w:author="ZTE(Yuan)" w:date="2021-11-11T15:56:00Z">
        <w:r>
          <w:rPr>
            <w:rFonts w:ascii="Arial" w:eastAsia="Times New Roman" w:hAnsi="Arial"/>
            <w:sz w:val="24"/>
            <w:lang w:eastAsia="zh-CN"/>
          </w:rPr>
          <w:t>4.3.36.</w:t>
        </w:r>
        <w:r>
          <w:rPr>
            <w:rFonts w:ascii="Arial" w:eastAsia="Times New Roman" w:hAnsi="Arial" w:hint="eastAsia"/>
            <w:sz w:val="24"/>
            <w:lang w:val="en-US" w:eastAsia="zh-CN"/>
          </w:rPr>
          <w:t>X</w:t>
        </w:r>
        <w:r>
          <w:rPr>
            <w:rFonts w:ascii="Arial" w:eastAsia="Times New Roman" w:hAnsi="Arial"/>
            <w:sz w:val="24"/>
            <w:lang w:eastAsia="zh-CN"/>
          </w:rPr>
          <w:tab/>
        </w:r>
        <w:r>
          <w:rPr>
            <w:rFonts w:ascii="Arial" w:eastAsia="Times New Roman" w:hAnsi="Arial"/>
            <w:i/>
            <w:sz w:val="24"/>
            <w:lang w:eastAsia="zh-CN"/>
          </w:rPr>
          <w:t>inactiveState</w:t>
        </w:r>
        <w:r>
          <w:rPr>
            <w:rFonts w:ascii="Arial" w:eastAsia="Times New Roman" w:hAnsi="Arial" w:hint="eastAsia"/>
            <w:i/>
            <w:sz w:val="24"/>
            <w:lang w:val="en-US" w:eastAsia="zh-CN"/>
          </w:rPr>
          <w:t>PO</w:t>
        </w:r>
        <w:r w:rsidR="008941A6">
          <w:rPr>
            <w:rFonts w:ascii="Arial" w:eastAsia="Times New Roman" w:hAnsi="Arial"/>
            <w:i/>
            <w:sz w:val="24"/>
            <w:lang w:val="en-US" w:eastAsia="zh-CN"/>
          </w:rPr>
          <w:t>-</w:t>
        </w:r>
        <w:r>
          <w:rPr>
            <w:rFonts w:ascii="Arial" w:eastAsia="Times New Roman" w:hAnsi="Arial" w:hint="eastAsia"/>
            <w:i/>
            <w:sz w:val="24"/>
            <w:lang w:val="en-US" w:eastAsia="zh-CN"/>
          </w:rPr>
          <w:t>Determination-r1</w:t>
        </w:r>
        <w:r>
          <w:rPr>
            <w:rFonts w:ascii="Arial" w:eastAsia="Times New Roman" w:hAnsi="Arial"/>
            <w:i/>
            <w:sz w:val="24"/>
            <w:lang w:val="en-US" w:eastAsia="zh-CN"/>
          </w:rPr>
          <w:t>7</w:t>
        </w:r>
      </w:ins>
    </w:p>
    <w:p w14:paraId="19FC0DDB" w14:textId="7DB64F9B" w:rsidR="00DC16E8" w:rsidRPr="00DC16E8" w:rsidRDefault="00DC16E8" w:rsidP="00DC16E8">
      <w:pPr>
        <w:rPr>
          <w:rFonts w:ascii="Arial" w:hAnsi="Arial"/>
          <w:sz w:val="28"/>
          <w:lang w:eastAsia="zh-CN"/>
        </w:rPr>
      </w:pPr>
      <w:ins w:id="79" w:author="ZTE(Yuan)" w:date="2021-11-11T15:56:00Z">
        <w:r>
          <w:rPr>
            <w:rFonts w:eastAsia="Times New Roman"/>
            <w:lang w:eastAsia="zh-CN"/>
          </w:rPr>
          <w:t>This field i</w:t>
        </w:r>
        <w:r>
          <w:rPr>
            <w:rFonts w:eastAsia="Times New Roman" w:hint="eastAsia"/>
            <w:lang w:eastAsia="zh-CN"/>
          </w:rPr>
          <w:t>ndicates whether the UE supports to use the same i_s in RRC_INACTIVE as in RRC_IDLE</w:t>
        </w:r>
        <w:r>
          <w:rPr>
            <w:rFonts w:eastAsia="Times New Roman"/>
            <w:lang w:eastAsia="zh-CN"/>
          </w:rPr>
          <w:t xml:space="preserve"> for PO determination as specified in TS 36.304 [14]</w:t>
        </w:r>
        <w:r>
          <w:rPr>
            <w:rFonts w:eastAsia="Times New Roman" w:hint="eastAsia"/>
            <w:lang w:eastAsia="zh-CN"/>
          </w:rPr>
          <w:t>.</w:t>
        </w:r>
        <w:r w:rsidRPr="008E7828">
          <w:t xml:space="preserve"> </w:t>
        </w:r>
        <w:r w:rsidRPr="00E1247F">
          <w:t xml:space="preserve">A UE indicating support of </w:t>
        </w:r>
        <w:r w:rsidRPr="008E7828">
          <w:rPr>
            <w:i/>
            <w:iCs/>
          </w:rPr>
          <w:t>inactiveStatePO</w:t>
        </w:r>
        <w:r w:rsidR="008941A6">
          <w:rPr>
            <w:i/>
            <w:iCs/>
          </w:rPr>
          <w:t>-</w:t>
        </w:r>
        <w:r w:rsidRPr="008E7828">
          <w:rPr>
            <w:i/>
            <w:iCs/>
          </w:rPr>
          <w:t>Determination-r17</w:t>
        </w:r>
        <w:r>
          <w:rPr>
            <w:i/>
            <w:iCs/>
          </w:rPr>
          <w:t xml:space="preserve"> </w:t>
        </w:r>
        <w:r w:rsidRPr="00E1247F">
          <w:t>shall also indicate support of</w:t>
        </w:r>
        <w:r w:rsidRPr="00E1247F">
          <w:rPr>
            <w:lang w:eastAsia="en-GB"/>
          </w:rPr>
          <w:t xml:space="preserve"> </w:t>
        </w:r>
        <w:r w:rsidRPr="008E7828">
          <w:rPr>
            <w:i/>
            <w:lang w:eastAsia="en-GB"/>
          </w:rPr>
          <w:t>inactiveState-r15</w:t>
        </w:r>
        <w:r w:rsidRPr="00E1247F">
          <w:rPr>
            <w:lang w:eastAsia="zh-CN"/>
          </w:rP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082D6AE" w14:textId="77777777" w:rsidR="00A27A5C" w:rsidRDefault="00AF1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14:paraId="6FDCF3AD" w14:textId="77777777" w:rsidR="00A27A5C" w:rsidRDefault="00A27A5C">
      <w:pPr>
        <w:rPr>
          <w:lang w:val="en-US" w:eastAsia="zh-CN"/>
        </w:rPr>
      </w:pPr>
    </w:p>
    <w:sectPr w:rsidR="00A27A5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49E1E" w14:textId="77777777" w:rsidR="00DD704A" w:rsidRDefault="00DD704A">
      <w:pPr>
        <w:spacing w:after="0" w:line="240" w:lineRule="auto"/>
      </w:pPr>
      <w:r>
        <w:separator/>
      </w:r>
    </w:p>
  </w:endnote>
  <w:endnote w:type="continuationSeparator" w:id="0">
    <w:p w14:paraId="03D37C12" w14:textId="77777777" w:rsidR="00DD704A" w:rsidRDefault="00DD7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EA919" w14:textId="77777777" w:rsidR="00DD704A" w:rsidRDefault="00DD704A">
      <w:pPr>
        <w:spacing w:after="0" w:line="240" w:lineRule="auto"/>
      </w:pPr>
      <w:r>
        <w:separator/>
      </w:r>
    </w:p>
  </w:footnote>
  <w:footnote w:type="continuationSeparator" w:id="0">
    <w:p w14:paraId="508AB8FF" w14:textId="77777777" w:rsidR="00DD704A" w:rsidRDefault="00DD7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FAEDA" w14:textId="77777777" w:rsidR="00A27A5C" w:rsidRDefault="00AF1E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47200" w14:textId="77777777" w:rsidR="00A27A5C" w:rsidRDefault="00A27A5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7A50F" w14:textId="77777777" w:rsidR="00A27A5C" w:rsidRDefault="00AF1E3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C1BBD" w14:textId="77777777" w:rsidR="00A27A5C" w:rsidRDefault="00A27A5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0298"/>
    <w:rsid w:val="00032ABE"/>
    <w:rsid w:val="00042F69"/>
    <w:rsid w:val="000439F6"/>
    <w:rsid w:val="00047F8E"/>
    <w:rsid w:val="00057DE6"/>
    <w:rsid w:val="00062F87"/>
    <w:rsid w:val="000641CC"/>
    <w:rsid w:val="00067148"/>
    <w:rsid w:val="000675BA"/>
    <w:rsid w:val="00073512"/>
    <w:rsid w:val="00083460"/>
    <w:rsid w:val="00090F79"/>
    <w:rsid w:val="00096A7C"/>
    <w:rsid w:val="00096C7C"/>
    <w:rsid w:val="000A5444"/>
    <w:rsid w:val="000A6394"/>
    <w:rsid w:val="000A77CD"/>
    <w:rsid w:val="000A7E34"/>
    <w:rsid w:val="000B5783"/>
    <w:rsid w:val="000B7FED"/>
    <w:rsid w:val="000C038A"/>
    <w:rsid w:val="000C45E0"/>
    <w:rsid w:val="000C5B8C"/>
    <w:rsid w:val="000C6186"/>
    <w:rsid w:val="000C6598"/>
    <w:rsid w:val="000C6EDD"/>
    <w:rsid w:val="000D348D"/>
    <w:rsid w:val="000D5E74"/>
    <w:rsid w:val="000E02FB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211D1"/>
    <w:rsid w:val="0013245E"/>
    <w:rsid w:val="00134315"/>
    <w:rsid w:val="00145D43"/>
    <w:rsid w:val="00151743"/>
    <w:rsid w:val="00152033"/>
    <w:rsid w:val="00155A1A"/>
    <w:rsid w:val="00171BC1"/>
    <w:rsid w:val="00177A5D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BB3"/>
    <w:rsid w:val="001B2CFD"/>
    <w:rsid w:val="001B52F0"/>
    <w:rsid w:val="001B7A65"/>
    <w:rsid w:val="001C205D"/>
    <w:rsid w:val="001C3E6A"/>
    <w:rsid w:val="001D0AAD"/>
    <w:rsid w:val="001E1329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35258"/>
    <w:rsid w:val="00246887"/>
    <w:rsid w:val="002503D5"/>
    <w:rsid w:val="0026004D"/>
    <w:rsid w:val="00262DA0"/>
    <w:rsid w:val="002640DD"/>
    <w:rsid w:val="0026676B"/>
    <w:rsid w:val="002676FC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5DB"/>
    <w:rsid w:val="002B5741"/>
    <w:rsid w:val="002C0EF8"/>
    <w:rsid w:val="002C5B18"/>
    <w:rsid w:val="002D3EC7"/>
    <w:rsid w:val="002E251F"/>
    <w:rsid w:val="002F0D00"/>
    <w:rsid w:val="003034DE"/>
    <w:rsid w:val="00305409"/>
    <w:rsid w:val="003076C8"/>
    <w:rsid w:val="00310C08"/>
    <w:rsid w:val="003202D5"/>
    <w:rsid w:val="003209F8"/>
    <w:rsid w:val="00326DC6"/>
    <w:rsid w:val="0033152B"/>
    <w:rsid w:val="003357A6"/>
    <w:rsid w:val="00345381"/>
    <w:rsid w:val="003502F2"/>
    <w:rsid w:val="00353BD3"/>
    <w:rsid w:val="00353CD0"/>
    <w:rsid w:val="003609EF"/>
    <w:rsid w:val="0036231A"/>
    <w:rsid w:val="0036359A"/>
    <w:rsid w:val="00374017"/>
    <w:rsid w:val="00374DD4"/>
    <w:rsid w:val="0037662A"/>
    <w:rsid w:val="00381E31"/>
    <w:rsid w:val="00392117"/>
    <w:rsid w:val="0039334C"/>
    <w:rsid w:val="003937CB"/>
    <w:rsid w:val="00397E7B"/>
    <w:rsid w:val="003A59A0"/>
    <w:rsid w:val="003A7CF4"/>
    <w:rsid w:val="003B368F"/>
    <w:rsid w:val="003C1E38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01D9E"/>
    <w:rsid w:val="00410371"/>
    <w:rsid w:val="00412C43"/>
    <w:rsid w:val="00416AE6"/>
    <w:rsid w:val="00422F38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53D6A"/>
    <w:rsid w:val="00460A46"/>
    <w:rsid w:val="0046756C"/>
    <w:rsid w:val="00470070"/>
    <w:rsid w:val="00470378"/>
    <w:rsid w:val="004765A2"/>
    <w:rsid w:val="0047689B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D3AF3"/>
    <w:rsid w:val="004D5361"/>
    <w:rsid w:val="004E175F"/>
    <w:rsid w:val="004E2387"/>
    <w:rsid w:val="004F2425"/>
    <w:rsid w:val="004F4BD6"/>
    <w:rsid w:val="004F5E5A"/>
    <w:rsid w:val="00504BFB"/>
    <w:rsid w:val="0051580D"/>
    <w:rsid w:val="00525652"/>
    <w:rsid w:val="00537D6D"/>
    <w:rsid w:val="005468FE"/>
    <w:rsid w:val="00547111"/>
    <w:rsid w:val="00562CF8"/>
    <w:rsid w:val="005640FB"/>
    <w:rsid w:val="005703C0"/>
    <w:rsid w:val="00580D65"/>
    <w:rsid w:val="00582D77"/>
    <w:rsid w:val="00592D74"/>
    <w:rsid w:val="0059367F"/>
    <w:rsid w:val="00593A95"/>
    <w:rsid w:val="005A09E5"/>
    <w:rsid w:val="005A19A4"/>
    <w:rsid w:val="005A4462"/>
    <w:rsid w:val="005A4AF2"/>
    <w:rsid w:val="005B4AC1"/>
    <w:rsid w:val="005C0516"/>
    <w:rsid w:val="005C4C43"/>
    <w:rsid w:val="005D44F5"/>
    <w:rsid w:val="005D5467"/>
    <w:rsid w:val="005D697C"/>
    <w:rsid w:val="005E07BE"/>
    <w:rsid w:val="005E2C44"/>
    <w:rsid w:val="005E3E80"/>
    <w:rsid w:val="005F6731"/>
    <w:rsid w:val="005F6D9B"/>
    <w:rsid w:val="005F77DD"/>
    <w:rsid w:val="005F7C5A"/>
    <w:rsid w:val="00603C9F"/>
    <w:rsid w:val="00604548"/>
    <w:rsid w:val="00606D98"/>
    <w:rsid w:val="00611C7E"/>
    <w:rsid w:val="00612AD4"/>
    <w:rsid w:val="0061349A"/>
    <w:rsid w:val="00613FA7"/>
    <w:rsid w:val="0061739D"/>
    <w:rsid w:val="006207D1"/>
    <w:rsid w:val="00621188"/>
    <w:rsid w:val="006216E1"/>
    <w:rsid w:val="006257ED"/>
    <w:rsid w:val="0063034F"/>
    <w:rsid w:val="006304E6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4D8E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3475E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1EFE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3E1B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1F97"/>
    <w:rsid w:val="008279FA"/>
    <w:rsid w:val="00841BFB"/>
    <w:rsid w:val="0084246D"/>
    <w:rsid w:val="008560A4"/>
    <w:rsid w:val="00860877"/>
    <w:rsid w:val="008626E7"/>
    <w:rsid w:val="00863437"/>
    <w:rsid w:val="0086460D"/>
    <w:rsid w:val="00870EE7"/>
    <w:rsid w:val="00884DB9"/>
    <w:rsid w:val="008863B9"/>
    <w:rsid w:val="008941A6"/>
    <w:rsid w:val="008A2875"/>
    <w:rsid w:val="008A45A6"/>
    <w:rsid w:val="008B046D"/>
    <w:rsid w:val="008C5C2E"/>
    <w:rsid w:val="008E64D5"/>
    <w:rsid w:val="008E7828"/>
    <w:rsid w:val="008F633F"/>
    <w:rsid w:val="008F686C"/>
    <w:rsid w:val="0090028C"/>
    <w:rsid w:val="00911FB6"/>
    <w:rsid w:val="009148DE"/>
    <w:rsid w:val="00917EFE"/>
    <w:rsid w:val="00920C27"/>
    <w:rsid w:val="00927326"/>
    <w:rsid w:val="0093222F"/>
    <w:rsid w:val="009346C5"/>
    <w:rsid w:val="009406ED"/>
    <w:rsid w:val="00941E30"/>
    <w:rsid w:val="009458E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45FC"/>
    <w:rsid w:val="009A5753"/>
    <w:rsid w:val="009A579D"/>
    <w:rsid w:val="009A6EA0"/>
    <w:rsid w:val="009B2DF2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A5C"/>
    <w:rsid w:val="00A30C0C"/>
    <w:rsid w:val="00A45E4A"/>
    <w:rsid w:val="00A47E70"/>
    <w:rsid w:val="00A50CF0"/>
    <w:rsid w:val="00A519F5"/>
    <w:rsid w:val="00A652F8"/>
    <w:rsid w:val="00A6793D"/>
    <w:rsid w:val="00A73183"/>
    <w:rsid w:val="00A736AD"/>
    <w:rsid w:val="00A7671C"/>
    <w:rsid w:val="00A81B60"/>
    <w:rsid w:val="00A856CE"/>
    <w:rsid w:val="00A91C6E"/>
    <w:rsid w:val="00A92A72"/>
    <w:rsid w:val="00A937DF"/>
    <w:rsid w:val="00A97E14"/>
    <w:rsid w:val="00AA2CBC"/>
    <w:rsid w:val="00AB0BE3"/>
    <w:rsid w:val="00AB31FF"/>
    <w:rsid w:val="00AC1806"/>
    <w:rsid w:val="00AC5820"/>
    <w:rsid w:val="00AC69B9"/>
    <w:rsid w:val="00AD196C"/>
    <w:rsid w:val="00AD1CD8"/>
    <w:rsid w:val="00AD3A4D"/>
    <w:rsid w:val="00AF1E3E"/>
    <w:rsid w:val="00AF1EED"/>
    <w:rsid w:val="00B00716"/>
    <w:rsid w:val="00B0365B"/>
    <w:rsid w:val="00B04FD3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5478F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2947"/>
    <w:rsid w:val="00B96851"/>
    <w:rsid w:val="00B968C8"/>
    <w:rsid w:val="00B96DE1"/>
    <w:rsid w:val="00BA3341"/>
    <w:rsid w:val="00BA3EC5"/>
    <w:rsid w:val="00BA51D9"/>
    <w:rsid w:val="00BA54AD"/>
    <w:rsid w:val="00BA5D50"/>
    <w:rsid w:val="00BB172F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142EE"/>
    <w:rsid w:val="00C20910"/>
    <w:rsid w:val="00C20F4A"/>
    <w:rsid w:val="00C23377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7595A"/>
    <w:rsid w:val="00C95985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F3CD5"/>
    <w:rsid w:val="00D01079"/>
    <w:rsid w:val="00D03F9A"/>
    <w:rsid w:val="00D06D51"/>
    <w:rsid w:val="00D11453"/>
    <w:rsid w:val="00D141BA"/>
    <w:rsid w:val="00D16758"/>
    <w:rsid w:val="00D167F9"/>
    <w:rsid w:val="00D17DCD"/>
    <w:rsid w:val="00D22FCA"/>
    <w:rsid w:val="00D23A30"/>
    <w:rsid w:val="00D243CF"/>
    <w:rsid w:val="00D24991"/>
    <w:rsid w:val="00D26EF8"/>
    <w:rsid w:val="00D3104B"/>
    <w:rsid w:val="00D408AE"/>
    <w:rsid w:val="00D46EF5"/>
    <w:rsid w:val="00D472A9"/>
    <w:rsid w:val="00D50255"/>
    <w:rsid w:val="00D517C9"/>
    <w:rsid w:val="00D525BE"/>
    <w:rsid w:val="00D542AA"/>
    <w:rsid w:val="00D5677C"/>
    <w:rsid w:val="00D601F5"/>
    <w:rsid w:val="00D628D2"/>
    <w:rsid w:val="00D63CD0"/>
    <w:rsid w:val="00D66520"/>
    <w:rsid w:val="00D67623"/>
    <w:rsid w:val="00D679C7"/>
    <w:rsid w:val="00D7162C"/>
    <w:rsid w:val="00D74D9F"/>
    <w:rsid w:val="00D80A1A"/>
    <w:rsid w:val="00D82F7E"/>
    <w:rsid w:val="00D85767"/>
    <w:rsid w:val="00D859A9"/>
    <w:rsid w:val="00D905CA"/>
    <w:rsid w:val="00DB6710"/>
    <w:rsid w:val="00DC16E8"/>
    <w:rsid w:val="00DC299A"/>
    <w:rsid w:val="00DC41A6"/>
    <w:rsid w:val="00DC6416"/>
    <w:rsid w:val="00DD2BFA"/>
    <w:rsid w:val="00DD5C5C"/>
    <w:rsid w:val="00DD704A"/>
    <w:rsid w:val="00DE34CF"/>
    <w:rsid w:val="00DE35F1"/>
    <w:rsid w:val="00DE514D"/>
    <w:rsid w:val="00DE7260"/>
    <w:rsid w:val="00DF7D81"/>
    <w:rsid w:val="00E009F5"/>
    <w:rsid w:val="00E03BFD"/>
    <w:rsid w:val="00E07143"/>
    <w:rsid w:val="00E13F3D"/>
    <w:rsid w:val="00E15F7F"/>
    <w:rsid w:val="00E170E5"/>
    <w:rsid w:val="00E2492E"/>
    <w:rsid w:val="00E25F9D"/>
    <w:rsid w:val="00E26711"/>
    <w:rsid w:val="00E34898"/>
    <w:rsid w:val="00E50B87"/>
    <w:rsid w:val="00E520C0"/>
    <w:rsid w:val="00E52CC7"/>
    <w:rsid w:val="00E65FA3"/>
    <w:rsid w:val="00E80098"/>
    <w:rsid w:val="00E873D5"/>
    <w:rsid w:val="00E87CC3"/>
    <w:rsid w:val="00E97555"/>
    <w:rsid w:val="00EB09AE"/>
    <w:rsid w:val="00EB09B7"/>
    <w:rsid w:val="00EB1689"/>
    <w:rsid w:val="00EB7C6E"/>
    <w:rsid w:val="00EC7CE8"/>
    <w:rsid w:val="00ED553E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077CE"/>
    <w:rsid w:val="00F10DD1"/>
    <w:rsid w:val="00F10FD5"/>
    <w:rsid w:val="00F15B08"/>
    <w:rsid w:val="00F173C0"/>
    <w:rsid w:val="00F2051D"/>
    <w:rsid w:val="00F218C3"/>
    <w:rsid w:val="00F25D98"/>
    <w:rsid w:val="00F300FB"/>
    <w:rsid w:val="00F35626"/>
    <w:rsid w:val="00F377DB"/>
    <w:rsid w:val="00F37945"/>
    <w:rsid w:val="00F40C63"/>
    <w:rsid w:val="00F41373"/>
    <w:rsid w:val="00F509A0"/>
    <w:rsid w:val="00F5645F"/>
    <w:rsid w:val="00F63DED"/>
    <w:rsid w:val="00F67CB8"/>
    <w:rsid w:val="00F70DAB"/>
    <w:rsid w:val="00F7702F"/>
    <w:rsid w:val="00F90DBE"/>
    <w:rsid w:val="00F9487C"/>
    <w:rsid w:val="00F95108"/>
    <w:rsid w:val="00F96122"/>
    <w:rsid w:val="00FA1051"/>
    <w:rsid w:val="00FA2311"/>
    <w:rsid w:val="00FA5792"/>
    <w:rsid w:val="00FB1B68"/>
    <w:rsid w:val="00FB28A0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723042B"/>
    <w:rsid w:val="08D63542"/>
    <w:rsid w:val="0EDE76CA"/>
    <w:rsid w:val="100348B0"/>
    <w:rsid w:val="151C6319"/>
    <w:rsid w:val="18374E89"/>
    <w:rsid w:val="196C1A7B"/>
    <w:rsid w:val="1AF84A3D"/>
    <w:rsid w:val="20013B3E"/>
    <w:rsid w:val="21686A58"/>
    <w:rsid w:val="22C721B3"/>
    <w:rsid w:val="24344ABB"/>
    <w:rsid w:val="264252D6"/>
    <w:rsid w:val="27276286"/>
    <w:rsid w:val="294C12DF"/>
    <w:rsid w:val="2D274EB0"/>
    <w:rsid w:val="2DA040E2"/>
    <w:rsid w:val="2F672E1D"/>
    <w:rsid w:val="33BD57B6"/>
    <w:rsid w:val="3A911675"/>
    <w:rsid w:val="3B953B51"/>
    <w:rsid w:val="3DEF2038"/>
    <w:rsid w:val="44104B39"/>
    <w:rsid w:val="44A533E1"/>
    <w:rsid w:val="45427981"/>
    <w:rsid w:val="46143D29"/>
    <w:rsid w:val="47AE5221"/>
    <w:rsid w:val="4CA25B26"/>
    <w:rsid w:val="4CF545D5"/>
    <w:rsid w:val="5032052A"/>
    <w:rsid w:val="50EC5EEF"/>
    <w:rsid w:val="51A40177"/>
    <w:rsid w:val="535B0E1F"/>
    <w:rsid w:val="53D9512E"/>
    <w:rsid w:val="547B4937"/>
    <w:rsid w:val="569226FE"/>
    <w:rsid w:val="58891B58"/>
    <w:rsid w:val="5A9C6CF3"/>
    <w:rsid w:val="5B2725BB"/>
    <w:rsid w:val="5B550779"/>
    <w:rsid w:val="5B894D98"/>
    <w:rsid w:val="5D3023A0"/>
    <w:rsid w:val="5DD700EB"/>
    <w:rsid w:val="60CB2FEC"/>
    <w:rsid w:val="611701F2"/>
    <w:rsid w:val="69B167F7"/>
    <w:rsid w:val="6CCA363E"/>
    <w:rsid w:val="6CF1170D"/>
    <w:rsid w:val="6ED65330"/>
    <w:rsid w:val="70953BA2"/>
    <w:rsid w:val="76017F2D"/>
    <w:rsid w:val="7A18047E"/>
    <w:rsid w:val="7A725F29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E6FA5"/>
  <w15:docId w15:val="{AF9DFFF9-2DAF-47CF-836C-D04C4FC2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ABA74A-169F-454E-A139-F9EA0AF2A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RAN2#117e</cp:lastModifiedBy>
  <cp:revision>37</cp:revision>
  <cp:lastPrinted>2411-12-31T15:59:00Z</cp:lastPrinted>
  <dcterms:created xsi:type="dcterms:W3CDTF">2021-11-10T15:22:00Z</dcterms:created>
  <dcterms:modified xsi:type="dcterms:W3CDTF">2022-03-03T07:15:00Z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1636539138</vt:lpwstr>
  </property>
</Properties>
</file>